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/>
    </w:p>
    <w:p/>
    <w:p/>
    <w:p/>
    <w:p/>
    <w:p>
      <w:pPr>
        <w:jc w:val="center"/>
      </w:pPr>
      <w:r>
        <w:rPr>
          <w:rFonts w:ascii="Aptos Display" w:hAnsi="Aptos Display"/>
          <w:color w:val="595959"/>
          <w:sz w:val="28"/>
        </w:rPr>
        <w:t>Reltio MDM Implementation Guide</w:t>
      </w:r>
    </w:p>
    <w:p>
      <w:pPr>
        <w:jc w:val="center"/>
      </w:pPr>
      <w:r>
        <w:rPr>
          <w:rFonts w:ascii="Aptos Display" w:hAnsi="Aptos Display"/>
          <w:b/>
          <w:color w:val="0F4761"/>
          <w:sz w:val="56"/>
        </w:rPr>
        <w:t>Reltio MDM Architecture Guide</w:t>
      </w:r>
    </w:p>
    <w:p>
      <w:pPr>
        <w:jc w:val="center"/>
      </w:pPr>
      <w:r>
        <w:rPr>
          <w:rFonts w:ascii="Aptos Display" w:hAnsi="Aptos Display"/>
          <w:b/>
          <w:color w:val="00A88F"/>
          <w:sz w:val="28"/>
        </w:rPr>
        <w:t>Mastech Digital — Reltio MDM Platform Assets</w:t>
      </w:r>
    </w:p>
    <w:p>
      <w:pPr>
        <w:jc w:val="center"/>
      </w:pPr>
      <w:r>
        <w:rPr>
          <w:rFonts w:ascii="Aptos" w:hAnsi="Aptos"/>
          <w:i/>
          <w:color w:val="595959"/>
          <w:sz w:val="22"/>
        </w:rPr>
        <w:t>Reference architecture for Reltio Cloud MDM enterprise deployments</w:t>
      </w:r>
    </w:p>
    <w:p/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Reltio MDM Architecture Guide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01 — Architecture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ARCH-001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Date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March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Mastech Digital — Reltio Practice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Pending – Internal Review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Draft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Internal – Mastech Digital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680"/>
          </w:tcPr>
          <w:p>
            <w:r>
              <w:rPr>
                <w:rFonts w:ascii="Aptos" w:hAnsi="Aptos"/>
                <w:sz w:val="20"/>
              </w:rPr>
              <w:t>Reltio Cloud MDM – 2026</w:t>
            </w:r>
          </w:p>
        </w:tc>
      </w:tr>
      <w:tr>
        <w:tc>
          <w:tcPr>
            <w:tcW w:type="dxa" w:w="4680"/>
            <w:shd w:fill="0F4761" w:val="clear"/>
          </w:tcPr>
          <w:p>
            <w:r>
              <w:rPr>
                <w:rFonts w:ascii="Aptos" w:hAnsi="Aptos"/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680"/>
            <w:shd w:fill="E8E8E8" w:val="clear"/>
          </w:tcPr>
          <w:p>
            <w:r>
              <w:rPr>
                <w:rFonts w:ascii="Aptos" w:hAnsi="Aptos"/>
                <w:sz w:val="20"/>
              </w:rPr>
              <w:t>September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This guide defines the reference architecture for deploying Reltio Cloud MDM within an enterprise data ecosystem. It covers the multi-tenant SaaS architecture, integration patterns, data flow design, security topology, and scalability considerations. Architects and senior engineers use this document to design robust, production-grade Reltio implementations aligned to Mastech Digital best practices.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Platform Architecture Overview</w:t>
      </w:r>
    </w:p>
    <w:p>
      <w:pPr>
        <w:spacing w:after="60"/>
      </w:pPr>
      <w:r>
        <w:rPr>
          <w:color w:val="0C548A"/>
          <w:sz w:val="22"/>
        </w:rPr>
        <w:t>2.0  Core Components</w:t>
      </w:r>
    </w:p>
    <w:p>
      <w:pPr>
        <w:spacing w:after="60"/>
      </w:pPr>
      <w:r>
        <w:rPr>
          <w:color w:val="0C548A"/>
          <w:sz w:val="22"/>
        </w:rPr>
        <w:t>3.0  Integration Architecture</w:t>
      </w:r>
    </w:p>
    <w:p>
      <w:pPr>
        <w:spacing w:after="60"/>
      </w:pPr>
      <w:r>
        <w:rPr>
          <w:color w:val="0C548A"/>
          <w:sz w:val="22"/>
        </w:rPr>
        <w:t>4.0  Security &amp; Compliance</w:t>
      </w:r>
    </w:p>
    <w:p>
      <w:pPr>
        <w:spacing w:after="60"/>
      </w:pPr>
      <w:r>
        <w:rPr>
          <w:color w:val="0C548A"/>
          <w:sz w:val="22"/>
        </w:rPr>
        <w:t>5.0  Scalability &amp; Performance</w:t>
      </w:r>
    </w:p>
    <w:p>
      <w:pPr>
        <w:spacing w:after="60"/>
      </w:pPr>
      <w:r>
        <w:rPr>
          <w:color w:val="0C548A"/>
          <w:sz w:val="22"/>
        </w:rPr>
        <w:t>6.0  Reference Topologies</w:t>
      </w:r>
    </w:p>
    <w:p>
      <w:r>
        <w:br w:type="page"/>
      </w:r>
    </w:p>
    <w:p>
      <w:pPr>
        <w:pStyle w:val="Heading1"/>
      </w:pPr>
      <w:r>
        <w:t>1. Platform Architecture Overview</w:t>
      </w:r>
    </w:p>
    <w:p>
      <w:r>
        <w:t>Reltio Cloud MDM is a cloud-native, multi-tenant SaaS platform purpose-built for enterprise master data management. Unlike traditional on-premises MDM platforms, Reltio operates on a shared infrastructure model with tenant isolation enforced at the data, API, and networking layers.</w:t>
      </w:r>
    </w:p>
    <w:p>
      <w:pPr>
        <w:pStyle w:val="Heading2"/>
      </w:pPr>
      <w:r>
        <w:t>1.1 Architectural Principles</w:t>
      </w:r>
    </w:p>
    <w:p>
      <w:pPr>
        <w:pStyle w:val="ListBullet"/>
      </w:pPr>
      <w:r>
        <w:t>API-First: Every capability exposed via REST APIs enabling headless MDM patterns</w:t>
      </w:r>
    </w:p>
    <w:p>
      <w:pPr>
        <w:pStyle w:val="ListBullet"/>
      </w:pPr>
      <w:r>
        <w:t>Event-Driven: Real-time change events via Reltio Streams for downstream consumers</w:t>
      </w:r>
    </w:p>
    <w:p>
      <w:pPr>
        <w:pStyle w:val="ListBullet"/>
      </w:pPr>
      <w:r>
        <w:t>Graph-Native: Entity relationships stored and traversed as a knowledge graph</w:t>
      </w:r>
    </w:p>
    <w:p>
      <w:pPr>
        <w:pStyle w:val="ListBullet"/>
      </w:pPr>
      <w:r>
        <w:t>Cloud-Agnostic: Deployed on GCP with tenant data isolated per organization</w:t>
      </w:r>
    </w:p>
    <w:p>
      <w:pPr>
        <w:pStyle w:val="ListBullet"/>
      </w:pPr>
      <w:r>
        <w:t>Zero-ETL Ready: Native connectors eliminate custom pipeline development</w:t>
      </w:r>
    </w:p>
    <w:p>
      <w:pPr>
        <w:pStyle w:val="Heading2"/>
      </w:pPr>
      <w:r>
        <w:t>1.2 High-Level Architecture Diagram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           ENTERPRISE DATA SOURCES    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CRM (Salesforce) │ ERP (SAP) │ Marketing │ E-Commerce │ Files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└───────────┬───────────────────────────────────────────┬─────────┘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│ REST / Bulk API / Connector                │ Events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▼                                            ▼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┌───────────────────────────────────────────────────────────────┐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           RELTIO CLOUD MDM PLATFORM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┌─────────────┐  ┌─────────────┐  ┌──────────────────────┐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│  Ingest &amp;   │  │  Match &amp;    │  │   Stewardship &amp;      │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│  Cleanse    │  │  Merge      │  │   Workflow           │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└──────┬──────┘  └──────┬──────┘  └──────────┬───────────┘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       │                │                     │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┌──────▼──────────────────────────────────────▼───────────┐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│         ENTITY GRAPH  (Golden Records + Relationships)   │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└──────────────────────────────┬──────────────────────────┘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┌──────────────────────────────▼──────────────────────────┐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│    Reltio Streams │ REST API │ Bulk Export │ Webhooks    │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└─────────────────────────────────────────────────────────┘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└───────────────────────────────────────────────────────────────┘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│                                         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 xml:space="preserve">            ▼                                            ▼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┌───────────────────────┐              ┌─────────────────────────┐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DATA CONSUMERS       │              │  ANALYTICS &amp; AI LAYER 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│  CRM / ERP / Apps     │              │  Snowflake / Databricks  │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└───────────────────────┘              └─────────────────────────┘</w:t>
      </w:r>
    </w:p>
    <w:p/>
    <w:p>
      <w:pPr>
        <w:pStyle w:val="Heading1"/>
      </w:pPr>
      <w:r>
        <w:t>2. Core Components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Function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Key Capability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Entity Hub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Central repository for golden records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Graph storage, entity resolution, survivorship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Ingest Engine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Batch and real-time data ingestion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Bulk API, REST ingest, file-based load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Match Engine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Probabilistic and deterministic matching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ML models, rule sets, confidence scoring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Merge Engine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Survivorship and golden record creation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Source priority, attribute-level rules, overrides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Workflow Engine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Stewardship task management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Assignment routing, SLA tracking, audit trail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Reltio Streams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Real-time change data capture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Kafka-compatible, event filtering, replay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REST API Gateway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External integration interface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OAuth 2.0, rate limiting, versioning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Graph Analytics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Relationship traversal and insights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Network analysis, influence scoring</w:t>
            </w:r>
          </w:p>
        </w:tc>
      </w:tr>
    </w:tbl>
    <w:p/>
    <w:p>
      <w:pPr>
        <w:pStyle w:val="Heading1"/>
      </w:pPr>
      <w:r>
        <w:t>3. Integration Architecture</w:t>
      </w:r>
    </w:p>
    <w:p>
      <w:pPr>
        <w:pStyle w:val="Heading2"/>
      </w:pPr>
      <w:r>
        <w:t>3.1 Inbound Integration Patterns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Mechanism</w:t>
            </w:r>
          </w:p>
        </w:tc>
        <w:tc>
          <w:tcPr>
            <w:tcW w:type="dxa" w:w="2340"/>
            <w:shd w:fill="0C548A" w:val="clear"/>
          </w:tcPr>
          <w:p>
            <w:r>
              <w:rPr>
                <w:b/>
                <w:color w:val="FFFFFF"/>
                <w:sz w:val="20"/>
              </w:rPr>
              <w:t>Latency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Real-Time REST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Transactional MDM updates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HTTPS POST to /reltio/api/{tenant}/entities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&lt; 1 second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Bulk API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Initial loads and large batch sync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Multipart upload with job tracking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Minutes-hours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Pre-built Connector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Salesforce, SAP, Workday sync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Reltio Connect configuration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Near real-time</w:t>
            </w:r>
          </w:p>
        </w:tc>
      </w:tr>
      <w:tr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File-Based ETL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Legacy system integration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SFTP → Reltio Bulk API</w:t>
            </w:r>
          </w:p>
        </w:tc>
        <w:tc>
          <w:tcPr>
            <w:tcW w:type="dxa" w:w="2340"/>
            <w:shd w:fill="F4F6FA" w:val="clear"/>
          </w:tcPr>
          <w:p>
            <w:r>
              <w:rPr>
                <w:sz w:val="20"/>
              </w:rPr>
              <w:t>Batch</w:t>
            </w:r>
          </w:p>
        </w:tc>
      </w:tr>
      <w:tr>
        <w:tc>
          <w:tcPr>
            <w:tcW w:type="dxa" w:w="2340"/>
          </w:tcPr>
          <w:p>
            <w:r>
              <w:rPr>
                <w:sz w:val="20"/>
              </w:rPr>
              <w:t>CDC Stream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Database change capture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Kafka → Reltio Streams ingest</w:t>
            </w:r>
          </w:p>
        </w:tc>
        <w:tc>
          <w:tcPr>
            <w:tcW w:type="dxa" w:w="2340"/>
          </w:tcPr>
          <w:p>
            <w:r>
              <w:rPr>
                <w:sz w:val="20"/>
              </w:rPr>
              <w:t>Sub-second</w:t>
            </w:r>
          </w:p>
        </w:tc>
      </w:tr>
    </w:tbl>
    <w:p/>
    <w:p>
      <w:pPr>
        <w:pStyle w:val="Heading2"/>
      </w:pPr>
      <w:r>
        <w:t>3.2 Outbound Integration Patterns</w:t>
      </w:r>
    </w:p>
    <w:p>
      <w:pPr>
        <w:pStyle w:val="ListBullet"/>
      </w:pPr>
      <w:r>
        <w:t>Reltio Streams: Subscribe to entity change events in Kafka-compatible consumers</w:t>
      </w:r>
    </w:p>
    <w:p>
      <w:pPr>
        <w:pStyle w:val="ListBullet"/>
      </w:pPr>
      <w:r>
        <w:t>REST Polling: Periodic API calls using lastModified filters for downstream sync</w:t>
      </w:r>
    </w:p>
    <w:p>
      <w:pPr>
        <w:pStyle w:val="ListBullet"/>
      </w:pPr>
      <w:r>
        <w:t>Webhook Push: Configure URL endpoints to receive real-time entity notifications</w:t>
      </w:r>
    </w:p>
    <w:p>
      <w:pPr>
        <w:pStyle w:val="ListBullet"/>
      </w:pPr>
      <w:r>
        <w:t>Bulk Export: Schedule data extracts to S3/GCS for analytics consumption</w:t>
      </w:r>
    </w:p>
    <w:p>
      <w:pPr>
        <w:pStyle w:val="ListBullet"/>
      </w:pPr>
      <w:r>
        <w:t>Snowflake Connector: Native zero-copy sharing of golden records</w:t>
      </w:r>
    </w:p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For high-throughput outbound scenarios, prefer Reltio Streams over REST polling. Streams provide guaranteed delivery, replay capability, and lower platform overhead.</w:t>
      </w:r>
    </w:p>
    <w:p/>
    <w:p>
      <w:pPr>
        <w:pStyle w:val="Heading1"/>
      </w:pPr>
      <w:r>
        <w:t>4. Security &amp; Compliance</w:t>
      </w:r>
    </w:p>
    <w:p>
      <w:pPr>
        <w:pStyle w:val="Heading2"/>
      </w:pPr>
      <w:r>
        <w:t>4.1 Security Controls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Layer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Control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Authentication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OAuth 2.0 / JWT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Client credentials or authorization code flow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Authorization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RBAC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Role-based access at tenant, entity type, and attribute levels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Network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TLS 1.2+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All API traffic encrypted in transit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Data at Rest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AES-256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Tenant data encrypted with customer-managed keys (CMEK option)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Audit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Immutable audit log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All entity changes logged with user, timestamp, source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PII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Field-level masking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Configurable masking for sensitive attributes</w:t>
            </w:r>
          </w:p>
        </w:tc>
      </w:tr>
    </w:tbl>
    <w:p/>
    <w:p>
      <w:pPr>
        <w:pStyle w:val="Heading2"/>
      </w:pPr>
      <w:r>
        <w:t>4.2 Compliance Certifications</w:t>
      </w:r>
    </w:p>
    <w:p>
      <w:pPr>
        <w:pStyle w:val="ListBullet"/>
      </w:pPr>
      <w:r>
        <w:t>SOC 2 Type II — Security, availability, and confidentiality</w:t>
      </w:r>
    </w:p>
    <w:p>
      <w:pPr>
        <w:pStyle w:val="ListBullet"/>
      </w:pPr>
      <w:r>
        <w:t>GDPR — Right to erasure API, consent management hooks</w:t>
      </w:r>
    </w:p>
    <w:p>
      <w:pPr>
        <w:pStyle w:val="ListBullet"/>
      </w:pPr>
      <w:r>
        <w:t>HIPAA — BAA available for healthcare deployments</w:t>
      </w:r>
    </w:p>
    <w:p>
      <w:pPr>
        <w:pStyle w:val="ListBullet"/>
      </w:pPr>
      <w:r>
        <w:t>ISO 27001 — Information security management</w:t>
      </w:r>
    </w:p>
    <w:p>
      <w:pPr>
        <w:pStyle w:val="Heading1"/>
      </w:pPr>
      <w:r>
        <w:t>5. Scalability &amp; Performance</w:t>
      </w:r>
    </w:p>
    <w:p>
      <w:pPr>
        <w:pStyle w:val="Heading2"/>
      </w:pPr>
      <w:r>
        <w:t>5.1 Platform SLAs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SLA</w:t>
            </w:r>
          </w:p>
        </w:tc>
        <w:tc>
          <w:tcPr>
            <w:tcW w:type="dxa" w:w="3120"/>
            <w:shd w:fill="0C548A" w:val="clear"/>
          </w:tcPr>
          <w:p>
            <w:r>
              <w:rPr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API Availability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99.9% uptime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Measured monthly excluding maintenance windows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Ingest Throughput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Up to 50K entities/sec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Bulk API with parallelism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REST API Latency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 200ms p99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Single entity read/write</w:t>
            </w:r>
          </w:p>
        </w:tc>
      </w:tr>
      <w:tr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Match Processing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&lt; 5 sec per entity</w:t>
            </w:r>
          </w:p>
        </w:tc>
        <w:tc>
          <w:tcPr>
            <w:tcW w:type="dxa" w:w="3120"/>
            <w:shd w:fill="F4F6FA" w:val="clear"/>
          </w:tcPr>
          <w:p>
            <w:r>
              <w:rPr>
                <w:sz w:val="20"/>
              </w:rPr>
              <w:t>Complex rule sets with ML models</w:t>
            </w:r>
          </w:p>
        </w:tc>
      </w:tr>
      <w:tr>
        <w:tc>
          <w:tcPr>
            <w:tcW w:type="dxa" w:w="3120"/>
          </w:tcPr>
          <w:p>
            <w:r>
              <w:rPr>
                <w:sz w:val="20"/>
              </w:rPr>
              <w:t>Event Streaming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&lt; 2 sec end-to-end</w:t>
            </w:r>
          </w:p>
        </w:tc>
        <w:tc>
          <w:tcPr>
            <w:tcW w:type="dxa" w:w="3120"/>
          </w:tcPr>
          <w:p>
            <w:r>
              <w:rPr>
                <w:sz w:val="20"/>
              </w:rPr>
              <w:t>From ingest trigger to stream publication</w:t>
            </w:r>
          </w:p>
        </w:tc>
      </w:tr>
    </w:tbl>
    <w:p/>
    <w:p>
      <w:pPr>
        <w:pStyle w:val="Heading2"/>
      </w:pPr>
      <w:r>
        <w:t>5.2 Scalability Patterns</w:t>
      </w:r>
    </w:p>
    <w:p>
      <w:pPr>
        <w:pStyle w:val="ListBullet"/>
      </w:pPr>
      <w:r>
        <w:t>Parallel Bulk Ingestion: Split large files into chunks and use concurrent Bulk API jobs</w:t>
      </w:r>
    </w:p>
    <w:p>
      <w:pPr>
        <w:pStyle w:val="ListBullet"/>
      </w:pPr>
      <w:r>
        <w:t>Streaming Match: Enable asynchronous match for high-volume ingest workloads</w:t>
      </w:r>
    </w:p>
    <w:p>
      <w:pPr>
        <w:pStyle w:val="ListBullet"/>
      </w:pPr>
      <w:r>
        <w:t>Read Replica: Use dedicated read endpoints for analytics queries to avoid OLTP contention</w:t>
      </w:r>
    </w:p>
    <w:p>
      <w:pPr>
        <w:pStyle w:val="ListBullet"/>
      </w:pPr>
      <w:r>
        <w:t>Rate Limiting: Default 500 req/sec per tenant; request increases for migration loads</w:t>
      </w:r>
    </w:p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During initial data migration, always coordinate with Reltio support to increase rate limits and bulk API concurrency. Default limits will cause 429 errors at migration scale.</w:t>
      </w:r>
    </w:p>
    <w:p/>
    <w:p>
      <w:pPr>
        <w:pStyle w:val="Heading1"/>
      </w:pPr>
      <w:r>
        <w:t>6. Reference Topologies</w:t>
      </w:r>
    </w:p>
    <w:p>
      <w:pPr>
        <w:pStyle w:val="Heading2"/>
      </w:pPr>
      <w:r>
        <w:t>6.1 Hub-and-Spoke MDM</w:t>
      </w:r>
    </w:p>
    <w:p>
      <w:r>
        <w:t>All source systems publish to Reltio as the system of record. Downstream consumers read from Reltio golden records only. Reltio owns the authoritative master data.</w:t>
      </w:r>
    </w:p>
    <w:p>
      <w:pPr>
        <w:pStyle w:val="Heading2"/>
      </w:pPr>
      <w:r>
        <w:t>6.2 Registry MDM</w:t>
      </w:r>
    </w:p>
    <w:p>
      <w:r>
        <w:t>Reltio maintains cross-reference IDs and match results but does not own attribute values. Source systems remain authoritative; Reltio provides identity resolution services.</w:t>
      </w:r>
    </w:p>
    <w:p>
      <w:pPr>
        <w:pStyle w:val="Heading2"/>
      </w:pPr>
      <w:r>
        <w:t>6.3 Coexistence MDM</w:t>
      </w:r>
    </w:p>
    <w:p>
      <w:r>
        <w:t>Reltio and source systems co-manage specific attribute domains. Reltio governs shared attributes (name, address, tax ID) while source systems own domain-specific attributes.</w:t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680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ARCH-002: Multi-Tenant Architecture Strategy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ARCH-003: Data Model Design Patterns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</w:tcPr>
          <w:p>
            <w:r>
              <w:rPr>
                <w:sz w:val="20"/>
              </w:rPr>
              <w:t>INT-001: REST API Integration Guide</w:t>
            </w:r>
          </w:p>
        </w:tc>
        <w:tc>
          <w:tcPr>
            <w:tcW w:type="dxa" w:w="4680"/>
          </w:tcPr>
          <w:p>
            <w:r>
              <w:rPr>
                <w:sz w:val="20"/>
              </w:rPr>
              <w:t>Reltio Asset Library</w:t>
            </w:r>
          </w:p>
        </w:tc>
      </w:tr>
      <w:tr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OPS-001: Reltio Deployment Guide</w:t>
            </w:r>
          </w:p>
        </w:tc>
        <w:tc>
          <w:tcPr>
            <w:tcW w:type="dxa" w:w="4680"/>
            <w:shd w:fill="F4F6FA" w:val="clear"/>
          </w:tcPr>
          <w:p>
            <w:r>
              <w:rPr>
                <w:sz w:val="20"/>
              </w:rPr>
              <w:t>Reltio Asset Library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Reltio MDM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